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786C0">
      <w:pPr>
        <w:keepNext w:val="0"/>
        <w:keepLines w:val="0"/>
        <w:pageBreakBefore w:val="0"/>
        <w:widowControl/>
        <w:kinsoku/>
        <w:wordWrap/>
        <w:overflowPunct/>
        <w:topLinePunct w:val="0"/>
        <w:bidi w:val="0"/>
        <w:spacing w:line="400" w:lineRule="exact"/>
        <w:textAlignment w:val="auto"/>
        <w:rPr>
          <w:rFonts w:ascii="黑体" w:hAnsi="黑体" w:eastAsia="黑体" w:cs="华文仿宋"/>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华文仿宋"/>
          <w:color w:val="0D0D0D" w:themeColor="text1" w:themeTint="F2"/>
          <w:sz w:val="32"/>
          <w:szCs w:val="32"/>
          <w14:textFill>
            <w14:solidFill>
              <w14:schemeClr w14:val="tx1">
                <w14:lumMod w14:val="95000"/>
                <w14:lumOff w14:val="5000"/>
              </w14:schemeClr>
            </w14:solidFill>
          </w14:textFill>
        </w:rPr>
        <w:t>附件3</w:t>
      </w:r>
    </w:p>
    <w:p w14:paraId="293DF894">
      <w:pPr>
        <w:keepNext w:val="0"/>
        <w:keepLines w:val="0"/>
        <w:pageBreakBefore w:val="0"/>
        <w:widowControl/>
        <w:kinsoku/>
        <w:wordWrap/>
        <w:overflowPunct/>
        <w:topLinePunct w:val="0"/>
        <w:bidi w:val="0"/>
        <w:spacing w:line="400" w:lineRule="exact"/>
        <w:textAlignment w:val="auto"/>
        <w:rPr>
          <w:rFonts w:ascii="黑体" w:hAnsi="黑体" w:eastAsia="黑体" w:cs="华文仿宋"/>
          <w:color w:val="0D0D0D" w:themeColor="text1" w:themeTint="F2"/>
          <w:sz w:val="24"/>
          <w:szCs w:val="24"/>
          <w14:textFill>
            <w14:solidFill>
              <w14:schemeClr w14:val="tx1">
                <w14:lumMod w14:val="95000"/>
                <w14:lumOff w14:val="5000"/>
              </w14:schemeClr>
            </w14:solidFill>
          </w14:textFill>
        </w:rPr>
      </w:pPr>
    </w:p>
    <w:p w14:paraId="1C778C4F">
      <w:pPr>
        <w:pStyle w:val="2"/>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山东省政府采购项目编号与命名规则</w:t>
      </w:r>
    </w:p>
    <w:p w14:paraId="6FB0A472">
      <w:pPr>
        <w:keepNext w:val="0"/>
        <w:keepLines w:val="0"/>
        <w:pageBreakBefore w:val="0"/>
        <w:widowControl/>
        <w:kinsoku/>
        <w:wordWrap/>
        <w:overflowPunct/>
        <w:topLinePunct w:val="0"/>
        <w:bidi w:val="0"/>
        <w:spacing w:line="400" w:lineRule="exact"/>
        <w:jc w:val="left"/>
        <w:textAlignment w:val="auto"/>
        <w:rPr>
          <w:rFonts w:ascii="仿宋_GB2312" w:hAnsi="仿宋" w:eastAsia="仿宋_GB2312" w:cs="华文仿宋"/>
          <w:color w:val="0D0D0D" w:themeColor="text1" w:themeTint="F2"/>
          <w:sz w:val="28"/>
          <w:szCs w:val="28"/>
          <w14:textFill>
            <w14:solidFill>
              <w14:schemeClr w14:val="tx1">
                <w14:lumMod w14:val="95000"/>
                <w14:lumOff w14:val="5000"/>
              </w14:schemeClr>
            </w14:solidFill>
          </w14:textFill>
        </w:rPr>
      </w:pPr>
    </w:p>
    <w:p w14:paraId="16D6B32D">
      <w:pPr>
        <w:pStyle w:val="5"/>
        <w:keepNext w:val="0"/>
        <w:keepLines w:val="0"/>
        <w:pageBreakBefore w:val="0"/>
        <w:widowControl/>
        <w:kinsoku/>
        <w:wordWrap/>
        <w:overflowPunct/>
        <w:topLinePunct w:val="0"/>
        <w:bidi w:val="0"/>
        <w:spacing w:line="240" w:lineRule="auto"/>
        <w:ind w:firstLine="0" w:firstLineChars="0"/>
        <w:textAlignment w:val="auto"/>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24"/>
          <w:szCs w:val="24"/>
          <w14:textFill>
            <w14:solidFill>
              <w14:schemeClr w14:val="tx1">
                <w14:lumMod w14:val="95000"/>
                <w14:lumOff w14:val="5000"/>
              </w14:schemeClr>
            </w14:solidFill>
          </w14:textFill>
        </w:rPr>
        <w:t xml:space="preserve"> </w:t>
      </w: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 xml:space="preserve">   一、山东省政府采购项目编号规则</w:t>
      </w:r>
    </w:p>
    <w:p w14:paraId="761791A6">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山东省政府采购项目编号为4位字母加18位数字，用于反映项目性质、采购人行政管理级次、项目立项年度、采购活动组织方、顺序号等信息。</w:t>
      </w:r>
    </w:p>
    <w:p w14:paraId="4122C29A">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SDGP</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XXXXXX</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XXXX</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XX</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XXXXXX</w:t>
      </w:r>
    </w:p>
    <w:p w14:paraId="18BD32BF">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①    ②    ③  ④    ⑤</w:t>
      </w:r>
    </w:p>
    <w:p w14:paraId="16591290">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①4位字母（SDGP，大写，半角字符），表示本项目为政府采购项目</w:t>
      </w:r>
    </w:p>
    <w:p w14:paraId="35E18CA2">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②6位数字，表示采购人行政管理级次，同国家统计局确定的《县及县以上行政区划代码》</w:t>
      </w:r>
    </w:p>
    <w:p w14:paraId="54EB690B">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③4位数字，表示立项年度</w:t>
      </w:r>
    </w:p>
    <w:p w14:paraId="13775826">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④2位数字，表示采购活动组织主体，00为采购人，01为集中采购机构，02为其他采购代理机构</w:t>
      </w:r>
    </w:p>
    <w:p w14:paraId="23AE7AE9">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⑤6位数字，表示同一政府管理级次某一管理区域内同一年度同一类组织主体的每个政府采购项目的顺序编码</w:t>
      </w:r>
    </w:p>
    <w:p w14:paraId="4D36768D">
      <w:pPr>
        <w:pStyle w:val="5"/>
        <w:keepNext w:val="0"/>
        <w:keepLines w:val="0"/>
        <w:pageBreakBefore w:val="0"/>
        <w:widowControl/>
        <w:kinsoku/>
        <w:wordWrap/>
        <w:overflowPunct/>
        <w:topLinePunct w:val="0"/>
        <w:bidi w:val="0"/>
        <w:spacing w:line="240" w:lineRule="auto"/>
        <w:ind w:firstLine="0" w:firstLineChars="0"/>
        <w:textAlignment w:val="auto"/>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 xml:space="preserve">    示例：</w:t>
      </w:r>
    </w:p>
    <w:p w14:paraId="31D198F4">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采购项目编号</w:t>
      </w:r>
      <w:r>
        <w:rPr>
          <w:rFonts w:hint="eastAsia" w:ascii="仿宋_GB2312" w:hAnsi="仿宋" w:eastAsia="仿宋_GB2312"/>
          <w:b/>
          <w:color w:val="0D0D0D" w:themeColor="text1" w:themeTint="F2"/>
          <w:sz w:val="32"/>
          <w:szCs w:val="32"/>
          <w14:textFill>
            <w14:solidFill>
              <w14:schemeClr w14:val="tx1">
                <w14:lumMod w14:val="95000"/>
                <w14:lumOff w14:val="5000"/>
              </w14:schemeClr>
            </w14:solidFill>
          </w14:textFill>
        </w:rPr>
        <w:t>SDGP</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370102201700000001表示：山东省济南市历下区在2017年由采购人自行组织的第一个立项的采购项目。</w:t>
      </w:r>
    </w:p>
    <w:p w14:paraId="35144F9C">
      <w:pPr>
        <w:pStyle w:val="5"/>
        <w:keepNext w:val="0"/>
        <w:keepLines w:val="0"/>
        <w:pageBreakBefore w:val="0"/>
        <w:widowControl/>
        <w:kinsoku/>
        <w:wordWrap/>
        <w:overflowPunct/>
        <w:topLinePunct w:val="0"/>
        <w:bidi w:val="0"/>
        <w:spacing w:line="240" w:lineRule="auto"/>
        <w:ind w:firstLine="0" w:firstLineChars="0"/>
        <w:textAlignment w:val="auto"/>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 xml:space="preserve">    二、山东省政府采购项目命名规则</w:t>
      </w:r>
    </w:p>
    <w:p w14:paraId="49322F2E">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山东省政府采购项目名称，用于反映采购人行政管理级次、单位名称及采购内容信息。</w:t>
      </w:r>
    </w:p>
    <w:p w14:paraId="31F0B2A5">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山东省**市**县（市、区）</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w:t>
      </w:r>
      <w:r>
        <w:rPr>
          <w:rFonts w:hint="eastAsia" w:ascii="仿宋_GB2312" w:hAnsi="仿宋" w:eastAsia="仿宋_GB2312"/>
          <w:color w:val="0D0D0D" w:themeColor="text1" w:themeTint="F2"/>
          <w:sz w:val="32"/>
          <w:szCs w:val="32"/>
          <w:u w:val="single"/>
          <w14:textFill>
            <w14:solidFill>
              <w14:schemeClr w14:val="tx1">
                <w14:lumMod w14:val="95000"/>
                <w14:lumOff w14:val="5000"/>
              </w14:schemeClr>
            </w14:solidFill>
          </w14:textFill>
        </w:rPr>
        <w:t>****</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采购项目</w:t>
      </w:r>
    </w:p>
    <w:p w14:paraId="7F8B30C8">
      <w:pPr>
        <w:pStyle w:val="5"/>
        <w:keepNext w:val="0"/>
        <w:keepLines w:val="0"/>
        <w:pageBreakBefore w:val="0"/>
        <w:widowControl/>
        <w:kinsoku/>
        <w:wordWrap/>
        <w:overflowPunct/>
        <w:topLinePunct w:val="0"/>
        <w:bidi w:val="0"/>
        <w:adjustRightInd w:val="0"/>
        <w:snapToGrid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①                    ②   ③</w:t>
      </w:r>
    </w:p>
    <w:p w14:paraId="3C04F502">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①采购人行政管理级次</w:t>
      </w:r>
    </w:p>
    <w:p w14:paraId="2D0136F9">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②采购人单位名称（全称）</w:t>
      </w:r>
    </w:p>
    <w:p w14:paraId="6F1A746E">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③采购内容</w:t>
      </w:r>
    </w:p>
    <w:p w14:paraId="52811C02">
      <w:pPr>
        <w:pStyle w:val="5"/>
        <w:keepNext w:val="0"/>
        <w:keepLines w:val="0"/>
        <w:pageBreakBefore w:val="0"/>
        <w:widowControl/>
        <w:kinsoku/>
        <w:wordWrap/>
        <w:overflowPunct/>
        <w:topLinePunct w:val="0"/>
        <w:bidi w:val="0"/>
        <w:spacing w:line="240" w:lineRule="auto"/>
        <w:ind w:firstLine="0" w:firstLineChars="0"/>
        <w:textAlignment w:val="auto"/>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 xml:space="preserve">    示例：</w:t>
      </w:r>
    </w:p>
    <w:p w14:paraId="14609DC6">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①山东省泰安市泰山区岱庙实验学校校园文化建设采购项目</w:t>
      </w:r>
    </w:p>
    <w:p w14:paraId="4A4AF5D7">
      <w:pPr>
        <w:pStyle w:val="5"/>
        <w:keepNext w:val="0"/>
        <w:keepLines w:val="0"/>
        <w:pageBreakBefore w:val="0"/>
        <w:widowControl/>
        <w:kinsoku/>
        <w:wordWrap/>
        <w:overflowPunct/>
        <w:topLinePunct w:val="0"/>
        <w:bidi w:val="0"/>
        <w:spacing w:line="240" w:lineRule="auto"/>
        <w:ind w:firstLine="0" w:firstLineChars="0"/>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②山东省日照市</w:t>
      </w:r>
      <w:r>
        <w:rPr>
          <w:color w:val="0D0D0D" w:themeColor="text1" w:themeTint="F2"/>
          <w:sz w:val="21"/>
          <w:szCs w:val="22"/>
          <w14:textFill>
            <w14:solidFill>
              <w14:schemeClr w14:val="tx1">
                <w14:lumMod w14:val="95000"/>
                <w14:lumOff w14:val="5000"/>
              </w14:schemeClr>
            </w14:solidFill>
          </w14:textFill>
        </w:rPr>
        <w:fldChar w:fldCharType="begin"/>
      </w:r>
      <w:r>
        <w:rPr>
          <w:color w:val="0D0D0D" w:themeColor="text1" w:themeTint="F2"/>
          <w:sz w:val="21"/>
          <w:szCs w:val="22"/>
          <w14:textFill>
            <w14:solidFill>
              <w14:schemeClr w14:val="tx1">
                <w14:lumMod w14:val="95000"/>
                <w14:lumOff w14:val="5000"/>
              </w14:schemeClr>
            </w14:solidFill>
          </w14:textFill>
        </w:rPr>
        <w:instrText xml:space="preserve"> HYPERLINK "http://10.28.8.50/sdgp2014/site/read.jsp?colcode=0303&amp;id=179843" \o "莒县城市污水处理厂、莒县城北污水处理厂污水处理药剂和污泥处理药剂联合采购项目公开招标公告" </w:instrText>
      </w:r>
      <w:r>
        <w:rPr>
          <w:color w:val="0D0D0D" w:themeColor="text1" w:themeTint="F2"/>
          <w:sz w:val="21"/>
          <w:szCs w:val="22"/>
          <w14:textFill>
            <w14:solidFill>
              <w14:schemeClr w14:val="tx1">
                <w14:lumMod w14:val="95000"/>
                <w14:lumOff w14:val="5000"/>
              </w14:schemeClr>
            </w14:solidFill>
          </w14:textFill>
        </w:rPr>
        <w:fldChar w:fldCharType="separate"/>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莒县城市污水处理厂、城北污水处理厂污水处理药剂和污泥处理药剂联合采购项目</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fldChar w:fldCharType="end"/>
      </w:r>
    </w:p>
    <w:p w14:paraId="7585DD90">
      <w:pPr>
        <w:keepNext w:val="0"/>
        <w:keepLines w:val="0"/>
        <w:pageBreakBefore w:val="0"/>
        <w:widowControl/>
        <w:kinsoku/>
        <w:wordWrap/>
        <w:overflowPunct/>
        <w:topLinePunct w:val="0"/>
        <w:bidi w:val="0"/>
        <w:spacing w:line="240" w:lineRule="auto"/>
        <w:textAlignment w:val="auto"/>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 xml:space="preserve">    ③山东省省直机关2017年第一期计算机批量集中采购项目</w:t>
      </w:r>
    </w:p>
    <w:p w14:paraId="4F98AA73">
      <w:pPr>
        <w:keepNext w:val="0"/>
        <w:keepLines w:val="0"/>
        <w:pageBreakBefore w:val="0"/>
        <w:widowControl/>
        <w:kinsoku/>
        <w:wordWrap/>
        <w:overflowPunct/>
        <w:topLinePunct w:val="0"/>
        <w:bidi w:val="0"/>
        <w:spacing w:line="240" w:lineRule="auto"/>
        <w:textAlignment w:val="auto"/>
        <w:rPr>
          <w:rStyle w:val="6"/>
          <w:rFonts w:hint="eastAsia" w:asciiTheme="majorEastAsia" w:hAnsiTheme="majorEastAsia" w:eastAsiaTheme="majorEastAsia" w:cstheme="majorEastAsia"/>
          <w:b/>
          <w:bCs/>
          <w:color w:val="0D0D0D" w:themeColor="text1" w:themeTint="F2"/>
          <w:kern w:val="36"/>
          <w:sz w:val="36"/>
          <w:szCs w:val="36"/>
          <w:highlight w:val="none"/>
          <w:lang w:val="zh-CN" w:eastAsia="zh-CN" w:bidi="ar-SA"/>
          <w14:textFill>
            <w14:solidFill>
              <w14:schemeClr w14:val="tx1">
                <w14:lumMod w14:val="95000"/>
                <w14:lumOff w14:val="5000"/>
              </w14:schemeClr>
            </w14:solidFill>
          </w14:textFill>
        </w:rPr>
      </w:pPr>
    </w:p>
    <w:p w14:paraId="50EE513F">
      <w:pPr>
        <w:spacing w:line="240" w:lineRule="auto"/>
        <w:rPr>
          <w:sz w:val="24"/>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A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6">
    <w:name w:val="a_contentlink_link"/>
    <w:qFormat/>
    <w:uiPriority w:val="0"/>
    <w:rPr>
      <w:rFonts w:ascii="微软雅黑" w:hAnsi="微软雅黑" w:eastAsia="微软雅黑" w:cs="微软雅黑"/>
      <w:color w:val="0000FF"/>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2025-10-10T12:40:15Z</dcterms:created>
  <dc:creator>Administrator</dc:creator>
  <cp:lastModifiedBy>小舍</cp:lastModifiedBy>
  <dcterms:modified xsi:type="dcterms:W3CDTF">2025-10-10T12:40:49Z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eyJoZGlkIjoiMWY1Y2M5YTkzZDdmYjY0NGUyMmVjMDcwZDY2ODc4YTEiLCJ1c2VySWQiOiI0NTI5MTEzMjAifQ==</vt:lpwstr>
  </property>
  <property fmtid="{D5CDD505-2E9C-101B-9397-08002B2CF9AE}" pid="4" name="ICV">
    <vt:lpwstr>3780242D62DF43258568D5844ACE23EB_12</vt:lpwstr>
  </property>
</Properties>
</file>